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C3" w:rsidRPr="00551F12" w:rsidRDefault="00854B31" w:rsidP="00551F12">
      <w:pPr>
        <w:jc w:val="center"/>
        <w:rPr>
          <w:b/>
        </w:rPr>
      </w:pPr>
      <w:r w:rsidRPr="00551F12">
        <w:rPr>
          <w:b/>
        </w:rPr>
        <w:t>Схема подключения и алгоритм работы светильников с резервным источником питания.</w:t>
      </w:r>
    </w:p>
    <w:p w:rsidR="00854B31" w:rsidRDefault="00854B31"/>
    <w:p w:rsidR="00854B31" w:rsidRDefault="00854B31"/>
    <w:p w:rsidR="008665D9" w:rsidRDefault="008665D9"/>
    <w:p w:rsidR="00F221EB" w:rsidRPr="00F221EB" w:rsidRDefault="00F221EB" w:rsidP="00F221EB">
      <w:pPr>
        <w:ind w:firstLine="567"/>
        <w:jc w:val="both"/>
        <w:rPr>
          <w:color w:val="FF0000"/>
        </w:rPr>
      </w:pPr>
      <w:r w:rsidRPr="00F221EB">
        <w:rPr>
          <w:color w:val="FF0000"/>
        </w:rPr>
        <w:t>Внимание! Перед подключением светильника к сети питания присоедините кабель аккумулятора к Блоку Аварийного Питания (БАП) через соответствующий разъём.</w:t>
      </w:r>
    </w:p>
    <w:p w:rsidR="00F221EB" w:rsidRDefault="00F221EB" w:rsidP="00A310AF">
      <w:pPr>
        <w:ind w:firstLine="567"/>
      </w:pPr>
    </w:p>
    <w:p w:rsidR="008665D9" w:rsidRDefault="00551F12" w:rsidP="00A310AF">
      <w:pPr>
        <w:ind w:firstLine="567"/>
      </w:pPr>
      <w:r w:rsidRPr="00551F12">
        <w:t xml:space="preserve">Клеммная колодка светильника </w:t>
      </w:r>
      <w:r>
        <w:t>с резервным источником питания имеет следующую маркировку контактов</w:t>
      </w:r>
      <w:r w:rsidR="00F221EB">
        <w:t xml:space="preserve"> клеммной колодки</w:t>
      </w:r>
      <w:r>
        <w:t>:</w:t>
      </w:r>
    </w:p>
    <w:p w:rsidR="00551F12" w:rsidRPr="00551F12" w:rsidRDefault="00551F12" w:rsidP="00551F12"/>
    <w:tbl>
      <w:tblPr>
        <w:tblW w:w="2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98"/>
        <w:gridCol w:w="425"/>
        <w:gridCol w:w="603"/>
      </w:tblGrid>
      <w:tr w:rsidR="008665D9" w:rsidRPr="00551F12" w:rsidTr="0028723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551F12" w:rsidRDefault="008665D9">
            <w:r w:rsidRPr="00551F12">
              <w:t>L1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551F12" w:rsidRDefault="008665D9">
            <w:r w:rsidRPr="00551F12">
              <w:drawing>
                <wp:inline distT="0" distB="0" distL="0" distR="0">
                  <wp:extent cx="161925" cy="133350"/>
                  <wp:effectExtent l="0" t="0" r="9525" b="0"/>
                  <wp:docPr id="1" name="Рисунок 1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551F12" w:rsidRDefault="008665D9">
            <w:r w:rsidRPr="00551F12">
              <w:t>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551F12" w:rsidRDefault="008665D9">
            <w:r w:rsidRPr="00551F12">
              <w:t>L2</w:t>
            </w:r>
          </w:p>
        </w:tc>
      </w:tr>
    </w:tbl>
    <w:p w:rsidR="00551F12" w:rsidRDefault="00A310AF" w:rsidP="00551F12">
      <w:r>
        <w:t>, г</w:t>
      </w:r>
      <w:r w:rsidR="00551F12">
        <w:t>де:</w:t>
      </w:r>
    </w:p>
    <w:p w:rsidR="00551F12" w:rsidRDefault="00551F12" w:rsidP="00551F12"/>
    <w:p w:rsidR="008665D9" w:rsidRDefault="008665D9" w:rsidP="00551F12">
      <w:r w:rsidRPr="00551F12">
        <w:t>L1 - некоммутируемая фаза</w:t>
      </w:r>
      <w:r w:rsidR="00CC3AAB">
        <w:t>*</w:t>
      </w:r>
      <w:r w:rsidRPr="00551F12">
        <w:t xml:space="preserve"> </w:t>
      </w:r>
      <w:r w:rsidR="00551F12">
        <w:t>(без выключателя в цепи)</w:t>
      </w:r>
      <w:r w:rsidR="00A310AF">
        <w:t>;</w:t>
      </w:r>
    </w:p>
    <w:p w:rsidR="00551F12" w:rsidRPr="00551F12" w:rsidRDefault="00551F12" w:rsidP="00551F12">
      <w:r w:rsidRPr="00551F12">
        <w:drawing>
          <wp:inline distT="0" distB="0" distL="0" distR="0" wp14:anchorId="09B75074" wp14:editId="58961EA6">
            <wp:extent cx="161925" cy="133350"/>
            <wp:effectExtent l="0" t="0" r="9525" b="0"/>
            <wp:docPr id="2" name="Рисунок 2" descr="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заземление</w:t>
      </w:r>
      <w:r w:rsidR="00A310AF">
        <w:t>;</w:t>
      </w:r>
    </w:p>
    <w:p w:rsidR="008665D9" w:rsidRPr="00551F12" w:rsidRDefault="008665D9" w:rsidP="00551F12">
      <w:r w:rsidRPr="00551F12">
        <w:t xml:space="preserve">N </w:t>
      </w:r>
      <w:r w:rsidR="00A310AF">
        <w:t>–</w:t>
      </w:r>
      <w:r w:rsidRPr="00551F12">
        <w:t xml:space="preserve"> нейтраль</w:t>
      </w:r>
      <w:r w:rsidR="00A310AF">
        <w:t>;</w:t>
      </w:r>
    </w:p>
    <w:p w:rsidR="008665D9" w:rsidRDefault="008665D9" w:rsidP="00551F12">
      <w:r w:rsidRPr="00551F12">
        <w:t>L2 - коммутируемая фаза</w:t>
      </w:r>
      <w:r w:rsidR="00CC3AAB">
        <w:t>*</w:t>
      </w:r>
      <w:r w:rsidRPr="00551F12">
        <w:t xml:space="preserve"> </w:t>
      </w:r>
      <w:r w:rsidR="00551F12">
        <w:t>(</w:t>
      </w:r>
      <w:r w:rsidR="00CC3AAB">
        <w:t>через выключатель</w:t>
      </w:r>
      <w:r w:rsidR="00551F12">
        <w:t>)</w:t>
      </w:r>
      <w:r w:rsidR="00A310AF">
        <w:t>.</w:t>
      </w:r>
    </w:p>
    <w:p w:rsidR="00CC3AAB" w:rsidRDefault="00CC3AAB" w:rsidP="00551F12"/>
    <w:p w:rsidR="00CC3AAB" w:rsidRDefault="00CC3AAB" w:rsidP="00551F12">
      <w:pPr>
        <w:rPr>
          <w:color w:val="FF0000"/>
        </w:rPr>
      </w:pPr>
      <w:r w:rsidRPr="00CC3AAB">
        <w:rPr>
          <w:color w:val="FF0000"/>
        </w:rPr>
        <w:t xml:space="preserve">* </w:t>
      </w:r>
      <w:r>
        <w:rPr>
          <w:color w:val="FF0000"/>
        </w:rPr>
        <w:t xml:space="preserve">Внимание! </w:t>
      </w:r>
      <w:r w:rsidR="00CD0AB4">
        <w:rPr>
          <w:color w:val="FF0000"/>
        </w:rPr>
        <w:t xml:space="preserve">Контакты </w:t>
      </w:r>
      <w:r w:rsidR="00CD0AB4">
        <w:rPr>
          <w:color w:val="FF0000"/>
          <w:lang w:val="en-US"/>
        </w:rPr>
        <w:t>L</w:t>
      </w:r>
      <w:r w:rsidR="00CD0AB4" w:rsidRPr="00CD0AB4">
        <w:rPr>
          <w:color w:val="FF0000"/>
        </w:rPr>
        <w:t>1</w:t>
      </w:r>
      <w:r w:rsidR="00CD0AB4">
        <w:rPr>
          <w:color w:val="FF0000"/>
        </w:rPr>
        <w:t xml:space="preserve"> и</w:t>
      </w:r>
      <w:r w:rsidR="00CD0AB4" w:rsidRPr="00CD0AB4">
        <w:rPr>
          <w:color w:val="FF0000"/>
        </w:rPr>
        <w:t xml:space="preserve"> </w:t>
      </w:r>
      <w:r w:rsidR="00CD0AB4">
        <w:rPr>
          <w:color w:val="FF0000"/>
          <w:lang w:val="en-US"/>
        </w:rPr>
        <w:t>L</w:t>
      </w:r>
      <w:r w:rsidR="00CD0AB4" w:rsidRPr="00CD0AB4">
        <w:rPr>
          <w:color w:val="FF0000"/>
        </w:rPr>
        <w:t>2</w:t>
      </w:r>
      <w:r w:rsidR="00CD0AB4">
        <w:rPr>
          <w:color w:val="FF0000"/>
        </w:rPr>
        <w:t xml:space="preserve"> должны подключены к одному и тому же фазов</w:t>
      </w:r>
      <w:r w:rsidR="00730BB4">
        <w:rPr>
          <w:color w:val="FF0000"/>
        </w:rPr>
        <w:t>о</w:t>
      </w:r>
      <w:r w:rsidR="00CD0AB4">
        <w:rPr>
          <w:color w:val="FF0000"/>
        </w:rPr>
        <w:t>му проводнику</w:t>
      </w:r>
      <w:r w:rsidRPr="00CC3AAB">
        <w:rPr>
          <w:color w:val="FF0000"/>
        </w:rPr>
        <w:t>!</w:t>
      </w:r>
    </w:p>
    <w:p w:rsidR="00BF6B67" w:rsidRDefault="00BF6B67" w:rsidP="00551F12"/>
    <w:p w:rsidR="00BF6B67" w:rsidRDefault="00BF6B67" w:rsidP="00BF6B67">
      <w:pPr>
        <w:ind w:firstLine="567"/>
        <w:jc w:val="both"/>
      </w:pPr>
      <w:r>
        <w:t>В нормальном режиме световой блок светильника получает питание от сети рабочего освещения, а в аварийном – от встроенного аккумулятора. Световой поток светильника в нормальном и аварийном режимах отличается и зависит от номинальной мощности светильника</w:t>
      </w:r>
      <w:r w:rsidR="0072181B">
        <w:t xml:space="preserve"> (см. таблицу)</w:t>
      </w:r>
      <w:r>
        <w:t xml:space="preserve">. Нормируемое время </w:t>
      </w:r>
      <w:r w:rsidR="00A02A1C">
        <w:t>работы светильника в аварийном режиме составляет не менее 1 часа.</w:t>
      </w:r>
    </w:p>
    <w:p w:rsidR="005246AC" w:rsidRDefault="005246AC" w:rsidP="00BF6B67">
      <w:pPr>
        <w:ind w:firstLine="567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5246AC" w:rsidRPr="0019191C" w:rsidTr="005246AC">
        <w:trPr>
          <w:trHeight w:val="827"/>
          <w:jc w:val="center"/>
        </w:trPr>
        <w:tc>
          <w:tcPr>
            <w:tcW w:w="4673" w:type="dxa"/>
            <w:shd w:val="clear" w:color="auto" w:fill="DADADA"/>
            <w:vAlign w:val="center"/>
          </w:tcPr>
          <w:p w:rsidR="005246AC" w:rsidRPr="005246AC" w:rsidRDefault="005246AC" w:rsidP="005246AC">
            <w:pPr>
              <w:pStyle w:val="TableParagraph"/>
              <w:spacing w:before="132"/>
              <w:ind w:left="0" w:right="1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Номинальная мощность светильника</w:t>
            </w:r>
          </w:p>
        </w:tc>
        <w:tc>
          <w:tcPr>
            <w:tcW w:w="4672" w:type="dxa"/>
            <w:shd w:val="clear" w:color="auto" w:fill="DADADA"/>
            <w:vAlign w:val="center"/>
          </w:tcPr>
          <w:p w:rsidR="005246AC" w:rsidRDefault="005246AC" w:rsidP="005246AC">
            <w:pPr>
              <w:pStyle w:val="TableParagraph"/>
              <w:spacing w:line="271" w:lineRule="exact"/>
              <w:ind w:left="0"/>
              <w:rPr>
                <w:b/>
                <w:sz w:val="24"/>
                <w:lang w:val="ru-RU"/>
              </w:rPr>
            </w:pPr>
            <w:r w:rsidRPr="0019191C">
              <w:rPr>
                <w:b/>
                <w:sz w:val="24"/>
                <w:lang w:val="ru-RU"/>
              </w:rPr>
              <w:t>Световой поток 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9191C">
              <w:rPr>
                <w:b/>
                <w:sz w:val="24"/>
                <w:lang w:val="ru-RU"/>
              </w:rPr>
              <w:t xml:space="preserve">аварийном режиме </w:t>
            </w:r>
          </w:p>
          <w:p w:rsidR="005246AC" w:rsidRPr="0019191C" w:rsidRDefault="005246AC" w:rsidP="005246AC">
            <w:pPr>
              <w:pStyle w:val="TableParagraph"/>
              <w:spacing w:line="271" w:lineRule="exact"/>
              <w:ind w:left="115" w:firstLine="4"/>
              <w:jc w:val="center"/>
              <w:rPr>
                <w:b/>
                <w:sz w:val="24"/>
                <w:lang w:val="ru-RU"/>
              </w:rPr>
            </w:pPr>
            <w:r w:rsidRPr="0019191C">
              <w:rPr>
                <w:b/>
                <w:sz w:val="24"/>
                <w:lang w:val="ru-RU"/>
              </w:rPr>
              <w:t>по отношению к</w:t>
            </w:r>
            <w:r>
              <w:rPr>
                <w:b/>
                <w:sz w:val="24"/>
                <w:lang w:val="ru-RU"/>
              </w:rPr>
              <w:t xml:space="preserve"> нормальному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110%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5246AC" w:rsidTr="005246AC">
        <w:trPr>
          <w:trHeight w:val="277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8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8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5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7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5246AC" w:rsidTr="005246AC">
        <w:trPr>
          <w:trHeight w:val="275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6" w:lineRule="exact"/>
              <w:ind w:left="1367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6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5246AC" w:rsidTr="005246AC">
        <w:trPr>
          <w:trHeight w:val="277"/>
          <w:jc w:val="center"/>
        </w:trPr>
        <w:tc>
          <w:tcPr>
            <w:tcW w:w="4673" w:type="dxa"/>
          </w:tcPr>
          <w:p w:rsidR="005246AC" w:rsidRDefault="005246AC" w:rsidP="003C0B31">
            <w:pPr>
              <w:pStyle w:val="TableParagraph"/>
              <w:spacing w:line="258" w:lineRule="exact"/>
              <w:ind w:left="1367" w:right="13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672" w:type="dxa"/>
          </w:tcPr>
          <w:p w:rsidR="005246AC" w:rsidRDefault="005246AC" w:rsidP="003C0B31">
            <w:pPr>
              <w:pStyle w:val="TableParagraph"/>
              <w:spacing w:line="258" w:lineRule="exact"/>
              <w:ind w:left="1366" w:right="1356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5246AC" w:rsidRDefault="005246AC" w:rsidP="00551F12"/>
    <w:p w:rsidR="00AB31D9" w:rsidRDefault="00AB31D9" w:rsidP="00730BB4">
      <w:pPr>
        <w:ind w:firstLine="567"/>
        <w:jc w:val="both"/>
      </w:pPr>
      <w:r>
        <w:t>При первом включении рекомендуется провести «тренировку» аккумулятора, для чего провести</w:t>
      </w:r>
      <w:r w:rsidR="00EE4DF5">
        <w:t xml:space="preserve"> подряд</w:t>
      </w:r>
      <w:r>
        <w:t xml:space="preserve"> три цикла полного заряда/разряда. Время полной зарядки аккумулятора составляет 24 часа.</w:t>
      </w:r>
    </w:p>
    <w:p w:rsidR="00730BB4" w:rsidRDefault="00730BB4" w:rsidP="00730BB4">
      <w:pPr>
        <w:ind w:firstLine="567"/>
        <w:jc w:val="both"/>
      </w:pPr>
      <w:r>
        <w:t>Для проверки работы светильника в аварийном режиме</w:t>
      </w:r>
      <w:r w:rsidR="00FB20F7">
        <w:t>,</w:t>
      </w:r>
      <w:bookmarkStart w:id="0" w:name="_GoBack"/>
      <w:bookmarkEnd w:id="0"/>
      <w:r>
        <w:t xml:space="preserve"> предусмотрена тестовая кнопка, при нажатии которой происходит принудительный перевод светильника в аварийный режим.</w:t>
      </w:r>
    </w:p>
    <w:p w:rsidR="00AB31D9" w:rsidRDefault="00AB31D9" w:rsidP="00730BB4">
      <w:pPr>
        <w:ind w:firstLine="567"/>
        <w:jc w:val="both"/>
      </w:pPr>
      <w:r>
        <w:t>Светильник оснащён светодиодным индикатором заряда аккумулятора.</w:t>
      </w:r>
    </w:p>
    <w:p w:rsidR="00730BB4" w:rsidRDefault="00730BB4">
      <w:pPr>
        <w:rPr>
          <w:b/>
        </w:rPr>
      </w:pPr>
      <w:r>
        <w:rPr>
          <w:b/>
        </w:rPr>
        <w:br w:type="page"/>
      </w:r>
    </w:p>
    <w:p w:rsidR="00551F12" w:rsidRPr="00907282" w:rsidRDefault="00551F12" w:rsidP="00907282">
      <w:pPr>
        <w:jc w:val="center"/>
        <w:rPr>
          <w:b/>
        </w:rPr>
      </w:pPr>
      <w:r w:rsidRPr="00907282">
        <w:rPr>
          <w:b/>
        </w:rPr>
        <w:lastRenderedPageBreak/>
        <w:t>Алгоритм</w:t>
      </w:r>
      <w:r w:rsidR="00907282" w:rsidRPr="00907282">
        <w:rPr>
          <w:b/>
        </w:rPr>
        <w:t>ы</w:t>
      </w:r>
      <w:r w:rsidRPr="00907282">
        <w:rPr>
          <w:b/>
        </w:rPr>
        <w:t xml:space="preserve"> работы.</w:t>
      </w:r>
    </w:p>
    <w:p w:rsidR="00551F12" w:rsidRDefault="00551F12" w:rsidP="00551F12"/>
    <w:p w:rsidR="00551F12" w:rsidRPr="00907282" w:rsidRDefault="00551F12" w:rsidP="00551F12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b/>
        </w:rPr>
      </w:pPr>
      <w:r w:rsidRPr="00907282">
        <w:rPr>
          <w:b/>
        </w:rPr>
        <w:t>Стандартный режим работы. «Светильник с резервным источником питания»</w:t>
      </w:r>
    </w:p>
    <w:p w:rsidR="00C82BB8" w:rsidRDefault="00C82BB8" w:rsidP="00C82BB8">
      <w:pPr>
        <w:pStyle w:val="a3"/>
        <w:tabs>
          <w:tab w:val="left" w:pos="567"/>
        </w:tabs>
        <w:ind w:left="142"/>
        <w:jc w:val="both"/>
      </w:pPr>
    </w:p>
    <w:p w:rsidR="00C82BB8" w:rsidRDefault="00F221EB" w:rsidP="00F221EB">
      <w:pPr>
        <w:pStyle w:val="a3"/>
        <w:tabs>
          <w:tab w:val="left" w:pos="567"/>
        </w:tabs>
        <w:ind w:left="142"/>
        <w:jc w:val="center"/>
      </w:pPr>
      <w:r>
        <w:rPr>
          <w:noProof/>
        </w:rPr>
        <w:drawing>
          <wp:inline distT="0" distB="0" distL="0" distR="0">
            <wp:extent cx="1318893" cy="1260000"/>
            <wp:effectExtent l="0" t="0" r="0" b="0"/>
            <wp:docPr id="4" name="Рисунок 4" descr="D:\Gades\САУ\Разработки\СВЕТИЛЬНИКИ\Аварийный светильник\Подключение аварийн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ades\САУ\Разработки\СВЕТИЛЬНИКИ\Аварийный светильник\Подключение аварийног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12" w:rsidRDefault="00551F12" w:rsidP="00551F12">
      <w:pPr>
        <w:pStyle w:val="a3"/>
        <w:tabs>
          <w:tab w:val="left" w:pos="567"/>
        </w:tabs>
        <w:ind w:left="142"/>
        <w:jc w:val="both"/>
      </w:pPr>
    </w:p>
    <w:p w:rsidR="00551F12" w:rsidRDefault="00551F12" w:rsidP="00551F12">
      <w:pPr>
        <w:ind w:firstLine="425"/>
        <w:jc w:val="both"/>
      </w:pPr>
      <w:r>
        <w:t xml:space="preserve">В случае наличия напряжения на контакте </w:t>
      </w:r>
      <w:r>
        <w:rPr>
          <w:lang w:val="en-US"/>
        </w:rPr>
        <w:t>L</w:t>
      </w:r>
      <w:r w:rsidRPr="00551F12">
        <w:t>1</w:t>
      </w:r>
      <w:r>
        <w:t xml:space="preserve"> светильник находится в </w:t>
      </w:r>
      <w:r w:rsidR="00CD0AB4">
        <w:t>нормальном</w:t>
      </w:r>
      <w:r>
        <w:t xml:space="preserve"> режиме и происходит зарядка/поддержание заряда аккумулятора. При этом, если на контакте </w:t>
      </w:r>
      <w:r>
        <w:rPr>
          <w:lang w:val="en-US"/>
        </w:rPr>
        <w:t>L</w:t>
      </w:r>
      <w:r w:rsidRPr="00551F12">
        <w:t>2</w:t>
      </w:r>
      <w:r>
        <w:t xml:space="preserve"> есть напряжение – светильник светится. Если нет – световой блок выключен.</w:t>
      </w:r>
    </w:p>
    <w:p w:rsidR="00551F12" w:rsidRPr="00843CBE" w:rsidRDefault="00551F12" w:rsidP="00551F12">
      <w:pPr>
        <w:ind w:firstLine="425"/>
        <w:jc w:val="both"/>
        <w:rPr>
          <w:color w:val="FF0000"/>
        </w:rPr>
      </w:pPr>
      <w:r>
        <w:t xml:space="preserve">В случае, когда напряжение на контакте </w:t>
      </w:r>
      <w:r>
        <w:rPr>
          <w:lang w:val="en-US"/>
        </w:rPr>
        <w:t>L</w:t>
      </w:r>
      <w:r w:rsidRPr="00551F12">
        <w:t>1</w:t>
      </w:r>
      <w:r>
        <w:t xml:space="preserve"> пропадает – светильник переходит в аварийный режим и световой блок </w:t>
      </w:r>
      <w:r w:rsidR="00A310AF">
        <w:t>включается и светится</w:t>
      </w:r>
      <w:r>
        <w:t xml:space="preserve"> от аккумулятора</w:t>
      </w:r>
      <w:r w:rsidR="00CD0AB4">
        <w:t>.</w:t>
      </w:r>
    </w:p>
    <w:p w:rsidR="00551F12" w:rsidRDefault="00551F12" w:rsidP="00551F12">
      <w:pPr>
        <w:ind w:left="142" w:firstLine="425"/>
        <w:jc w:val="both"/>
      </w:pPr>
    </w:p>
    <w:p w:rsidR="00CD0AB4" w:rsidRPr="00551F12" w:rsidRDefault="00CD0AB4" w:rsidP="00551F12">
      <w:pPr>
        <w:ind w:left="142" w:firstLine="425"/>
        <w:jc w:val="both"/>
      </w:pPr>
    </w:p>
    <w:p w:rsidR="00551F12" w:rsidRPr="00CD0AB4" w:rsidRDefault="00907282" w:rsidP="00907282">
      <w:pPr>
        <w:pStyle w:val="a3"/>
        <w:numPr>
          <w:ilvl w:val="0"/>
          <w:numId w:val="1"/>
        </w:numPr>
        <w:jc w:val="both"/>
        <w:rPr>
          <w:b/>
        </w:rPr>
      </w:pPr>
      <w:r w:rsidRPr="00CD0AB4">
        <w:rPr>
          <w:b/>
        </w:rPr>
        <w:t>Режим аварийного светильника постоянного действия</w:t>
      </w:r>
    </w:p>
    <w:p w:rsidR="00BF6B67" w:rsidRDefault="00BF6B67" w:rsidP="00BF6B67">
      <w:pPr>
        <w:pStyle w:val="a3"/>
        <w:jc w:val="both"/>
      </w:pPr>
    </w:p>
    <w:p w:rsidR="00BF6B67" w:rsidRDefault="00CD0AB4" w:rsidP="00CD0AB4">
      <w:pPr>
        <w:pStyle w:val="a3"/>
        <w:jc w:val="center"/>
      </w:pPr>
      <w:r>
        <w:rPr>
          <w:noProof/>
        </w:rPr>
        <w:drawing>
          <wp:inline distT="0" distB="0" distL="0" distR="0">
            <wp:extent cx="1318893" cy="1260000"/>
            <wp:effectExtent l="0" t="0" r="0" b="0"/>
            <wp:docPr id="5" name="Рисунок 5" descr="D:\Gades\САУ\Разработки\СВЕТИЛЬНИКИ\Аварийный светильник\Подключение аварийн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ades\САУ\Разработки\СВЕТИЛЬНИКИ\Аварийный светильник\Подключение аварийног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67" w:rsidRDefault="00BF6B67" w:rsidP="00BF6B67">
      <w:pPr>
        <w:pStyle w:val="a3"/>
        <w:jc w:val="both"/>
      </w:pPr>
    </w:p>
    <w:p w:rsidR="00BF6B67" w:rsidRDefault="00BF6B67" w:rsidP="00BF6B67">
      <w:pPr>
        <w:pStyle w:val="a3"/>
        <w:ind w:left="0" w:firstLine="567"/>
        <w:jc w:val="both"/>
      </w:pPr>
      <w:r>
        <w:t>При данном подключении светильник работает постоянно, при пропадании фазового напряжения переходя в аварийный режим.</w:t>
      </w:r>
    </w:p>
    <w:p w:rsidR="00CD0AB4" w:rsidRDefault="00CD0AB4" w:rsidP="00BF6B67">
      <w:pPr>
        <w:pStyle w:val="a3"/>
        <w:ind w:left="0" w:firstLine="567"/>
        <w:jc w:val="both"/>
      </w:pPr>
    </w:p>
    <w:p w:rsidR="00CD0AB4" w:rsidRDefault="00CD0AB4" w:rsidP="00BF6B67">
      <w:pPr>
        <w:pStyle w:val="a3"/>
        <w:ind w:left="0" w:firstLine="567"/>
        <w:jc w:val="both"/>
      </w:pPr>
    </w:p>
    <w:p w:rsidR="008665D9" w:rsidRPr="00CD0AB4" w:rsidRDefault="00CD0AB4" w:rsidP="00CD0AB4">
      <w:pPr>
        <w:pStyle w:val="a3"/>
        <w:numPr>
          <w:ilvl w:val="0"/>
          <w:numId w:val="1"/>
        </w:numPr>
        <w:jc w:val="both"/>
        <w:rPr>
          <w:b/>
        </w:rPr>
      </w:pPr>
      <w:r w:rsidRPr="00CD0AB4">
        <w:rPr>
          <w:b/>
        </w:rPr>
        <w:t>Режим аварийного светильника непостоянного действия</w:t>
      </w:r>
    </w:p>
    <w:p w:rsidR="00CD0AB4" w:rsidRDefault="00CD0AB4" w:rsidP="00CD0AB4">
      <w:pPr>
        <w:jc w:val="both"/>
      </w:pPr>
    </w:p>
    <w:p w:rsidR="00CD0AB4" w:rsidRDefault="00CD0AB4" w:rsidP="00CD0AB4">
      <w:pPr>
        <w:jc w:val="center"/>
      </w:pPr>
      <w:r>
        <w:rPr>
          <w:noProof/>
        </w:rPr>
        <w:drawing>
          <wp:inline distT="0" distB="0" distL="0" distR="0">
            <wp:extent cx="1318893" cy="1260000"/>
            <wp:effectExtent l="0" t="0" r="0" b="0"/>
            <wp:docPr id="6" name="Рисунок 6" descr="D:\Gades\САУ\Разработки\СВЕТИЛЬНИКИ\Аварийный светильник\Подключение аварийног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ades\САУ\Разработки\СВЕТИЛЬНИКИ\Аварийный светильник\Подключение аварийного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4" w:rsidRDefault="00CD0AB4" w:rsidP="00CD0AB4">
      <w:pPr>
        <w:jc w:val="center"/>
      </w:pPr>
    </w:p>
    <w:p w:rsidR="00CD0AB4" w:rsidRPr="00854B31" w:rsidRDefault="00CD0AB4" w:rsidP="00CD0AB4">
      <w:pPr>
        <w:ind w:firstLine="567"/>
        <w:jc w:val="both"/>
      </w:pPr>
      <w:r>
        <w:t xml:space="preserve">При данном подключении светильник </w:t>
      </w:r>
      <w:r>
        <w:t xml:space="preserve">в нормальном режиме не светится и загорается только </w:t>
      </w:r>
      <w:r>
        <w:t>при пропадании фазового напряжения переходя в аварийный режим.</w:t>
      </w:r>
    </w:p>
    <w:sectPr w:rsidR="00CD0AB4" w:rsidRPr="0085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65C"/>
    <w:multiLevelType w:val="hybridMultilevel"/>
    <w:tmpl w:val="9854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1"/>
    <w:rsid w:val="00287238"/>
    <w:rsid w:val="00420EC3"/>
    <w:rsid w:val="005246AC"/>
    <w:rsid w:val="00551F12"/>
    <w:rsid w:val="0072181B"/>
    <w:rsid w:val="00730BB4"/>
    <w:rsid w:val="00843CBE"/>
    <w:rsid w:val="00854B31"/>
    <w:rsid w:val="008665D9"/>
    <w:rsid w:val="00907282"/>
    <w:rsid w:val="00A02A1C"/>
    <w:rsid w:val="00A03925"/>
    <w:rsid w:val="00A310AF"/>
    <w:rsid w:val="00AB31D9"/>
    <w:rsid w:val="00B5674E"/>
    <w:rsid w:val="00BC3DAA"/>
    <w:rsid w:val="00BF6B67"/>
    <w:rsid w:val="00C82BB8"/>
    <w:rsid w:val="00CC3AAB"/>
    <w:rsid w:val="00CD0AB4"/>
    <w:rsid w:val="00D82D51"/>
    <w:rsid w:val="00EE4DF5"/>
    <w:rsid w:val="00F221EB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EA63F"/>
  <w15:chartTrackingRefBased/>
  <w15:docId w15:val="{4D105D89-3DE4-4657-AAD6-57AA878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1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246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46AC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Лермонтов</dc:creator>
  <cp:keywords/>
  <dc:description/>
  <cp:lastModifiedBy>Станислав Лермонтов</cp:lastModifiedBy>
  <cp:revision>9</cp:revision>
  <dcterms:created xsi:type="dcterms:W3CDTF">2018-01-25T09:28:00Z</dcterms:created>
  <dcterms:modified xsi:type="dcterms:W3CDTF">2018-01-25T13:17:00Z</dcterms:modified>
</cp:coreProperties>
</file>